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DE276F" w:rsidTr="00A3589D">
        <w:tc>
          <w:tcPr>
            <w:tcW w:w="9350" w:type="dxa"/>
            <w:gridSpan w:val="2"/>
          </w:tcPr>
          <w:p w:rsidR="00DE276F" w:rsidRPr="00DE276F" w:rsidRDefault="00DE276F" w:rsidP="00DE276F">
            <w:pPr>
              <w:jc w:val="center"/>
              <w:rPr>
                <w:b/>
              </w:rPr>
            </w:pPr>
            <w:r>
              <w:rPr>
                <w:b/>
              </w:rPr>
              <w:t>Post-Arrest Care following ROSC</w:t>
            </w:r>
          </w:p>
        </w:tc>
      </w:tr>
      <w:tr w:rsidR="006656A8" w:rsidTr="00DE276F">
        <w:tc>
          <w:tcPr>
            <w:tcW w:w="2965" w:type="dxa"/>
          </w:tcPr>
          <w:p w:rsidR="006656A8" w:rsidRDefault="006656A8">
            <w:r>
              <w:t xml:space="preserve">Ventilation and Oxygenation </w:t>
            </w:r>
          </w:p>
        </w:tc>
        <w:tc>
          <w:tcPr>
            <w:tcW w:w="6385" w:type="dxa"/>
          </w:tcPr>
          <w:p w:rsidR="006656A8" w:rsidRDefault="00DE276F">
            <w:r>
              <w:t xml:space="preserve">Maintain SpO2 &gt;94%.  Do NOT hyperventilate (avoid cerebral vasoconstriction); start at 10-12 breaths/min. Consider advanced airway waveform </w:t>
            </w:r>
            <w:proofErr w:type="spellStart"/>
            <w:r>
              <w:t>capnography</w:t>
            </w:r>
            <w:proofErr w:type="spellEnd"/>
            <w:r>
              <w:t xml:space="preserve">. Target ETCO2 35-40mmHg.  </w:t>
            </w:r>
          </w:p>
        </w:tc>
      </w:tr>
      <w:tr w:rsidR="006656A8" w:rsidTr="00DE276F">
        <w:tc>
          <w:tcPr>
            <w:tcW w:w="2965" w:type="dxa"/>
          </w:tcPr>
          <w:p w:rsidR="006656A8" w:rsidRDefault="00DE276F">
            <w:r>
              <w:t>Hypotension</w:t>
            </w:r>
          </w:p>
        </w:tc>
        <w:tc>
          <w:tcPr>
            <w:tcW w:w="6385" w:type="dxa"/>
          </w:tcPr>
          <w:p w:rsidR="006656A8" w:rsidRDefault="00DE276F">
            <w:r>
              <w:t xml:space="preserve">Cycle blood pressure and continuously monitor pulses. Goal MAP &gt;65mmHg. IV/IO Fluid bolus as appropriate.  Start Vasopressor infusion: </w:t>
            </w:r>
          </w:p>
          <w:p w:rsidR="00DE276F" w:rsidRDefault="00DE276F" w:rsidP="00DE276F">
            <w:pPr>
              <w:pStyle w:val="ListParagraph"/>
              <w:numPr>
                <w:ilvl w:val="0"/>
                <w:numId w:val="1"/>
              </w:numPr>
            </w:pPr>
            <w:r>
              <w:t xml:space="preserve">Epinephrine (0.1-0.5 mcg/kg/min) </w:t>
            </w:r>
          </w:p>
          <w:p w:rsidR="00DE276F" w:rsidRDefault="00DE276F" w:rsidP="00DE276F">
            <w:pPr>
              <w:pStyle w:val="ListParagraph"/>
              <w:numPr>
                <w:ilvl w:val="0"/>
                <w:numId w:val="1"/>
              </w:numPr>
            </w:pPr>
            <w:r>
              <w:t>Norepinephrine (0.1-0.5 mcg/kg/min)</w:t>
            </w:r>
          </w:p>
        </w:tc>
      </w:tr>
      <w:tr w:rsidR="006656A8" w:rsidTr="00DE276F">
        <w:tc>
          <w:tcPr>
            <w:tcW w:w="2965" w:type="dxa"/>
          </w:tcPr>
          <w:p w:rsidR="006656A8" w:rsidRDefault="00DE276F">
            <w:r>
              <w:t xml:space="preserve">Revascularization </w:t>
            </w:r>
          </w:p>
        </w:tc>
        <w:tc>
          <w:tcPr>
            <w:tcW w:w="6385" w:type="dxa"/>
          </w:tcPr>
          <w:p w:rsidR="006656A8" w:rsidRDefault="00DE276F" w:rsidP="00DE276F">
            <w:r>
              <w:t>Obtain 12-Lead EKG right away post-ROSC</w:t>
            </w:r>
            <w:r w:rsidR="00D7267C">
              <w:t xml:space="preserve"> and perform bedside ECHO</w:t>
            </w:r>
            <w:r>
              <w:t xml:space="preserve">.  Consider emergent coronary angiography as indicated. Hypothermia does not contraindicate PCI.  </w:t>
            </w:r>
          </w:p>
        </w:tc>
      </w:tr>
      <w:tr w:rsidR="006656A8" w:rsidTr="00DE276F">
        <w:tc>
          <w:tcPr>
            <w:tcW w:w="2965" w:type="dxa"/>
          </w:tcPr>
          <w:p w:rsidR="006656A8" w:rsidRDefault="00D7267C">
            <w:r>
              <w:t xml:space="preserve">Neurologic </w:t>
            </w:r>
          </w:p>
        </w:tc>
        <w:tc>
          <w:tcPr>
            <w:tcW w:w="6385" w:type="dxa"/>
          </w:tcPr>
          <w:p w:rsidR="00D7267C" w:rsidRDefault="00B4402D" w:rsidP="00B4402D">
            <w:r w:rsidRPr="00B4402D">
              <w:t xml:space="preserve">Obtain Head CT.  </w:t>
            </w:r>
            <w:bookmarkStart w:id="0" w:name="_GoBack"/>
            <w:bookmarkEnd w:id="0"/>
            <w:r w:rsidR="00DE276F">
              <w:t xml:space="preserve">Target </w:t>
            </w:r>
            <w:proofErr w:type="spellStart"/>
            <w:r w:rsidR="00DE276F">
              <w:t>normothermia</w:t>
            </w:r>
            <w:proofErr w:type="spellEnd"/>
            <w:r w:rsidR="00DE276F">
              <w:t xml:space="preserve"> and avoid fever in ALL patients</w:t>
            </w:r>
            <w:r w:rsidR="00D7267C">
              <w:t xml:space="preserve"> (TTM2 Trial). </w:t>
            </w:r>
            <w:r w:rsidR="00DE276F">
              <w:t xml:space="preserve">  Consider </w:t>
            </w:r>
            <w:r w:rsidR="00D7267C">
              <w:t xml:space="preserve">temperature target of 36C and get video EEG if </w:t>
            </w:r>
            <w:proofErr w:type="spellStart"/>
            <w:r w:rsidR="00D7267C">
              <w:t>pt</w:t>
            </w:r>
            <w:proofErr w:type="spellEnd"/>
            <w:r w:rsidR="00DE276F">
              <w:t xml:space="preserve"> is not foll</w:t>
            </w:r>
            <w:r w:rsidR="00D7267C">
              <w:t xml:space="preserve">owing commands.  </w:t>
            </w:r>
          </w:p>
        </w:tc>
      </w:tr>
      <w:tr w:rsidR="00D7267C" w:rsidTr="00DE276F">
        <w:tc>
          <w:tcPr>
            <w:tcW w:w="2965" w:type="dxa"/>
          </w:tcPr>
          <w:p w:rsidR="00D7267C" w:rsidRDefault="00D7267C">
            <w:r>
              <w:t>OTHER</w:t>
            </w:r>
          </w:p>
        </w:tc>
        <w:tc>
          <w:tcPr>
            <w:tcW w:w="6385" w:type="dxa"/>
          </w:tcPr>
          <w:p w:rsidR="00D7267C" w:rsidRDefault="00D7267C" w:rsidP="00D7267C">
            <w:r>
              <w:t xml:space="preserve">Repeat labs: </w:t>
            </w:r>
            <w:proofErr w:type="spellStart"/>
            <w:r>
              <w:t>Fingerstick</w:t>
            </w:r>
            <w:proofErr w:type="spellEnd"/>
            <w:r>
              <w:t xml:space="preserve"> glucose, CMP, CBC, and </w:t>
            </w:r>
            <w:proofErr w:type="spellStart"/>
            <w:r>
              <w:t>Coags</w:t>
            </w:r>
            <w:proofErr w:type="spellEnd"/>
          </w:p>
          <w:p w:rsidR="00D7267C" w:rsidRDefault="00D7267C" w:rsidP="00D7267C">
            <w:r>
              <w:t xml:space="preserve">Trend: Lactate and ABG </w:t>
            </w:r>
          </w:p>
          <w:p w:rsidR="00D7267C" w:rsidRDefault="00D7267C" w:rsidP="00D7267C">
            <w:r>
              <w:t xml:space="preserve">Consider: Infectious work-up and antibiotics if sepsis suspected </w:t>
            </w:r>
          </w:p>
          <w:p w:rsidR="00D7267C" w:rsidRDefault="00D7267C" w:rsidP="00D7267C">
            <w:r>
              <w:t xml:space="preserve">Assess DVT and GI </w:t>
            </w:r>
            <w:proofErr w:type="spellStart"/>
            <w:r>
              <w:t>ppx</w:t>
            </w:r>
            <w:proofErr w:type="spellEnd"/>
            <w:r>
              <w:t xml:space="preserve"> need </w:t>
            </w:r>
          </w:p>
          <w:p w:rsidR="00D7267C" w:rsidRDefault="00D7267C" w:rsidP="00D7267C">
            <w:r>
              <w:t xml:space="preserve">Initiate enteral feeding within 48hrs UNLESS hemodynamically unstable or with high-vasopressor requirements </w:t>
            </w:r>
          </w:p>
        </w:tc>
      </w:tr>
    </w:tbl>
    <w:p w:rsidR="00584BA3" w:rsidRDefault="00584BA3"/>
    <w:sectPr w:rsidR="00584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497"/>
    <w:multiLevelType w:val="hybridMultilevel"/>
    <w:tmpl w:val="004CCD9A"/>
    <w:lvl w:ilvl="0" w:tplc="192CF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A8"/>
    <w:rsid w:val="00584BA3"/>
    <w:rsid w:val="006656A8"/>
    <w:rsid w:val="00B4402D"/>
    <w:rsid w:val="00D7267C"/>
    <w:rsid w:val="00DE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577718"/>
  <w15:chartTrackingRefBased/>
  <w15:docId w15:val="{7D7356E2-807C-4D5D-AEBF-1543F1EF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Orrick, Michael J CPT USARMY (USA)</dc:creator>
  <cp:keywords/>
  <dc:description/>
  <cp:lastModifiedBy>Orrick, Michael J CPT USARMY (USA)</cp:lastModifiedBy>
  <cp:revision>2</cp:revision>
  <dcterms:created xsi:type="dcterms:W3CDTF">2022-07-17T15:49:00Z</dcterms:created>
  <dcterms:modified xsi:type="dcterms:W3CDTF">2022-07-17T17:00:00Z</dcterms:modified>
</cp:coreProperties>
</file>